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5554" w:type="dxa"/>
        <w:jc w:val="center"/>
        <w:tblLayout w:type="autofit"/>
        <w:tblCellMar>
          <w:top w:w="0" w:type="dxa"/>
          <w:left w:w="108" w:type="dxa"/>
          <w:bottom w:w="0" w:type="dxa"/>
          <w:right w:w="108" w:type="dxa"/>
        </w:tblCellMar>
      </w:tblPr>
      <w:tblGrid>
        <w:gridCol w:w="536"/>
        <w:gridCol w:w="2478"/>
        <w:gridCol w:w="1620"/>
        <w:gridCol w:w="676"/>
        <w:gridCol w:w="1860"/>
        <w:gridCol w:w="1875"/>
        <w:gridCol w:w="975"/>
        <w:gridCol w:w="5534"/>
      </w:tblGrid>
      <w:tr>
        <w:tblPrEx>
          <w:tblCellMar>
            <w:top w:w="0" w:type="dxa"/>
            <w:left w:w="108" w:type="dxa"/>
            <w:bottom w:w="0" w:type="dxa"/>
            <w:right w:w="108" w:type="dxa"/>
          </w:tblCellMar>
        </w:tblPrEx>
        <w:trPr>
          <w:trHeight w:val="1293" w:hRule="atLeast"/>
          <w:jc w:val="center"/>
        </w:trPr>
        <w:tc>
          <w:tcPr>
            <w:tcW w:w="15554" w:type="dxa"/>
            <w:gridSpan w:val="8"/>
            <w:tcBorders>
              <w:top w:val="nil"/>
              <w:left w:val="nil"/>
              <w:bottom w:val="nil"/>
              <w:right w:val="nil"/>
            </w:tcBorders>
            <w:shd w:val="clear" w:color="auto" w:fill="FFFFFF"/>
            <w:noWrap w:val="0"/>
            <w:vAlign w:val="center"/>
          </w:tcPr>
          <w:p>
            <w:pPr>
              <w:widowControl/>
              <w:textAlignment w:val="center"/>
              <w:rPr>
                <w:rFonts w:hint="eastAsia"/>
                <w:sz w:val="28"/>
                <w:szCs w:val="28"/>
              </w:rPr>
            </w:pPr>
            <w:r>
              <w:rPr>
                <w:rFonts w:hint="eastAsia"/>
                <w:sz w:val="28"/>
                <w:szCs w:val="28"/>
              </w:rPr>
              <w:t>附件1</w:t>
            </w:r>
          </w:p>
          <w:p>
            <w:pPr>
              <w:widowControl/>
              <w:jc w:val="center"/>
              <w:textAlignment w:val="center"/>
              <w:rPr>
                <w:rFonts w:hint="eastAsia" w:ascii="方正小标宋简体" w:hAnsi="方正小标宋简体" w:eastAsia="方正小标宋简体" w:cs="方正小标宋简体"/>
                <w:b/>
                <w:color w:val="000000"/>
                <w:sz w:val="44"/>
                <w:szCs w:val="44"/>
                <w:lang w:val="en-US" w:eastAsia="zh-CN"/>
              </w:rPr>
            </w:pPr>
            <w:r>
              <w:rPr>
                <w:rFonts w:hint="eastAsia" w:ascii="方正小标宋简体" w:hAnsi="方正小标宋简体" w:eastAsia="方正小标宋简体" w:cs="方正小标宋简体"/>
                <w:b/>
                <w:color w:val="000000"/>
                <w:sz w:val="44"/>
                <w:szCs w:val="44"/>
                <w:lang w:val="en-US" w:eastAsia="zh-CN" w:bidi="ar"/>
              </w:rPr>
              <w:t>樟树市国投集团</w:t>
            </w:r>
            <w:r>
              <w:rPr>
                <w:rFonts w:hint="eastAsia" w:ascii="方正小标宋简体" w:hAnsi="方正小标宋简体" w:eastAsia="方正小标宋简体" w:cs="方正小标宋简体"/>
                <w:b/>
                <w:color w:val="000000"/>
                <w:sz w:val="44"/>
                <w:szCs w:val="44"/>
                <w:lang w:bidi="ar"/>
              </w:rPr>
              <w:t>公开招聘岗位表</w:t>
            </w:r>
          </w:p>
        </w:tc>
      </w:tr>
      <w:tr>
        <w:tblPrEx>
          <w:tblCellMar>
            <w:top w:w="0" w:type="dxa"/>
            <w:left w:w="108" w:type="dxa"/>
            <w:bottom w:w="0" w:type="dxa"/>
            <w:right w:w="108" w:type="dxa"/>
          </w:tblCellMar>
        </w:tblPrEx>
        <w:trPr>
          <w:trHeight w:val="850"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黑体" w:eastAsia="黑体" w:cs="黑体"/>
                <w:color w:val="000000"/>
                <w:sz w:val="32"/>
                <w:szCs w:val="32"/>
              </w:rPr>
            </w:pPr>
            <w:r>
              <w:rPr>
                <w:rFonts w:hint="eastAsia" w:ascii="黑体" w:hAnsi="黑体" w:eastAsia="黑体" w:cs="黑体"/>
                <w:color w:val="000000"/>
                <w:sz w:val="32"/>
                <w:szCs w:val="32"/>
                <w:lang w:bidi="ar"/>
              </w:rPr>
              <w:t>序号</w:t>
            </w:r>
          </w:p>
        </w:tc>
        <w:tc>
          <w:tcPr>
            <w:tcW w:w="2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黑体" w:eastAsia="黑体" w:cs="黑体"/>
                <w:color w:val="000000"/>
                <w:sz w:val="32"/>
                <w:szCs w:val="32"/>
              </w:rPr>
            </w:pPr>
            <w:r>
              <w:rPr>
                <w:rFonts w:hint="eastAsia" w:ascii="黑体" w:hAnsi="黑体" w:eastAsia="黑体" w:cs="黑体"/>
                <w:color w:val="000000"/>
                <w:sz w:val="32"/>
                <w:szCs w:val="32"/>
                <w:lang w:bidi="ar"/>
              </w:rPr>
              <w:t>企业名称</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黑体" w:eastAsia="黑体" w:cs="黑体"/>
                <w:color w:val="000000"/>
                <w:sz w:val="32"/>
                <w:szCs w:val="32"/>
              </w:rPr>
            </w:pPr>
            <w:r>
              <w:rPr>
                <w:rFonts w:hint="eastAsia" w:ascii="黑体" w:hAnsi="黑体" w:eastAsia="黑体" w:cs="黑体"/>
                <w:color w:val="000000"/>
                <w:sz w:val="32"/>
                <w:szCs w:val="32"/>
                <w:lang w:bidi="ar"/>
              </w:rPr>
              <w:t>岗位名称</w:t>
            </w:r>
          </w:p>
        </w:tc>
        <w:tc>
          <w:tcPr>
            <w:tcW w:w="6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黑体" w:eastAsia="黑体" w:cs="黑体"/>
                <w:color w:val="000000"/>
                <w:sz w:val="32"/>
                <w:szCs w:val="32"/>
              </w:rPr>
            </w:pPr>
            <w:r>
              <w:rPr>
                <w:rFonts w:hint="eastAsia" w:ascii="黑体" w:hAnsi="黑体" w:eastAsia="黑体" w:cs="黑体"/>
                <w:color w:val="000000"/>
                <w:sz w:val="32"/>
                <w:szCs w:val="32"/>
                <w:lang w:bidi="ar"/>
              </w:rPr>
              <w:t>人数</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黑体" w:eastAsia="黑体" w:cs="黑体"/>
                <w:color w:val="000000"/>
                <w:sz w:val="32"/>
                <w:szCs w:val="32"/>
              </w:rPr>
            </w:pPr>
            <w:r>
              <w:rPr>
                <w:rFonts w:hint="eastAsia" w:ascii="黑体" w:hAnsi="黑体" w:eastAsia="黑体" w:cs="黑体"/>
                <w:color w:val="000000"/>
                <w:sz w:val="32"/>
                <w:szCs w:val="32"/>
                <w:lang w:bidi="ar"/>
              </w:rPr>
              <w:t>专业要求</w:t>
            </w:r>
          </w:p>
        </w:tc>
        <w:tc>
          <w:tcPr>
            <w:tcW w:w="18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黑体" w:eastAsia="黑体" w:cs="黑体"/>
                <w:color w:val="000000"/>
                <w:sz w:val="32"/>
                <w:szCs w:val="32"/>
              </w:rPr>
            </w:pPr>
            <w:r>
              <w:rPr>
                <w:rFonts w:hint="eastAsia" w:ascii="黑体" w:hAnsi="黑体" w:eastAsia="黑体" w:cs="黑体"/>
                <w:color w:val="000000"/>
                <w:sz w:val="32"/>
                <w:szCs w:val="32"/>
                <w:lang w:bidi="ar"/>
              </w:rPr>
              <w:t>学历要求</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黑体" w:eastAsia="黑体" w:cs="黑体"/>
                <w:color w:val="000000"/>
                <w:sz w:val="32"/>
                <w:szCs w:val="32"/>
              </w:rPr>
            </w:pPr>
            <w:r>
              <w:rPr>
                <w:rFonts w:hint="eastAsia" w:ascii="黑体" w:hAnsi="黑体" w:eastAsia="黑体" w:cs="黑体"/>
                <w:color w:val="000000"/>
                <w:sz w:val="32"/>
                <w:szCs w:val="32"/>
                <w:lang w:bidi="ar"/>
              </w:rPr>
              <w:t>年龄</w:t>
            </w:r>
          </w:p>
        </w:tc>
        <w:tc>
          <w:tcPr>
            <w:tcW w:w="5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黑体" w:hAnsi="黑体" w:eastAsia="黑体" w:cs="黑体"/>
                <w:color w:val="000000"/>
                <w:sz w:val="32"/>
                <w:szCs w:val="32"/>
              </w:rPr>
            </w:pPr>
            <w:r>
              <w:rPr>
                <w:rFonts w:hint="eastAsia" w:ascii="黑体" w:hAnsi="黑体" w:eastAsia="黑体" w:cs="黑体"/>
                <w:color w:val="000000"/>
                <w:sz w:val="32"/>
                <w:szCs w:val="32"/>
                <w:lang w:bidi="ar"/>
              </w:rPr>
              <w:t>其他条件（工作经验等）</w:t>
            </w:r>
          </w:p>
        </w:tc>
      </w:tr>
      <w:tr>
        <w:tblPrEx>
          <w:tblCellMar>
            <w:top w:w="0" w:type="dxa"/>
            <w:left w:w="108" w:type="dxa"/>
            <w:bottom w:w="0" w:type="dxa"/>
            <w:right w:w="108" w:type="dxa"/>
          </w:tblCellMar>
        </w:tblPrEx>
        <w:trPr>
          <w:trHeight w:val="1576" w:hRule="atLeast"/>
          <w:jc w:val="center"/>
        </w:trPr>
        <w:tc>
          <w:tcPr>
            <w:tcW w:w="536"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1</w:t>
            </w:r>
          </w:p>
        </w:tc>
        <w:tc>
          <w:tcPr>
            <w:tcW w:w="2478"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市国投集团</w:t>
            </w:r>
          </w:p>
        </w:tc>
        <w:tc>
          <w:tcPr>
            <w:tcW w:w="1620"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投融资部</w:t>
            </w:r>
          </w:p>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（经理）</w:t>
            </w:r>
          </w:p>
        </w:tc>
        <w:tc>
          <w:tcPr>
            <w:tcW w:w="676"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1</w:t>
            </w:r>
          </w:p>
        </w:tc>
        <w:tc>
          <w:tcPr>
            <w:tcW w:w="1860"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经济与贸易类或财政金融类专业</w:t>
            </w:r>
          </w:p>
        </w:tc>
        <w:tc>
          <w:tcPr>
            <w:tcW w:w="1875"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全日制本科及以上学历</w:t>
            </w:r>
          </w:p>
        </w:tc>
        <w:tc>
          <w:tcPr>
            <w:tcW w:w="975"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35周岁及以下</w:t>
            </w:r>
          </w:p>
        </w:tc>
        <w:tc>
          <w:tcPr>
            <w:tcW w:w="553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限有银行投行（中级职称）或具有在中国证券协会登记取得过证券从业证书（咨询、基础、交易、基金、承销等）且有相关工作经验5年以上。有连续5年以上银行投行或证券类公司工作经验有中级职称或取得过证券从业证书且具有国有平台公司5年以上投融资经验报考年龄可放宽至40周岁。</w:t>
            </w:r>
          </w:p>
        </w:tc>
      </w:tr>
      <w:tr>
        <w:tblPrEx>
          <w:tblCellMar>
            <w:top w:w="0" w:type="dxa"/>
            <w:left w:w="108" w:type="dxa"/>
            <w:bottom w:w="0" w:type="dxa"/>
            <w:right w:w="108" w:type="dxa"/>
          </w:tblCellMar>
        </w:tblPrEx>
        <w:trPr>
          <w:trHeight w:val="1069" w:hRule="atLeast"/>
          <w:jc w:val="center"/>
        </w:trPr>
        <w:tc>
          <w:tcPr>
            <w:tcW w:w="536"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2</w:t>
            </w:r>
          </w:p>
        </w:tc>
        <w:tc>
          <w:tcPr>
            <w:tcW w:w="2478"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市国投集团</w:t>
            </w:r>
          </w:p>
        </w:tc>
        <w:tc>
          <w:tcPr>
            <w:tcW w:w="1620"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投融资部</w:t>
            </w:r>
          </w:p>
          <w:p>
            <w:pPr>
              <w:widowControl/>
              <w:jc w:val="center"/>
              <w:textAlignment w:val="center"/>
              <w:rPr>
                <w:rFonts w:hint="default" w:hAnsi="宋体"/>
                <w:color w:val="000000"/>
                <w:sz w:val="22"/>
                <w:szCs w:val="22"/>
                <w:lang w:val="en-US" w:eastAsia="zh-CN" w:bidi="ar"/>
              </w:rPr>
            </w:pPr>
            <w:r>
              <w:rPr>
                <w:rFonts w:hint="eastAsia" w:hAnsi="宋体"/>
                <w:color w:val="000000"/>
                <w:sz w:val="22"/>
                <w:szCs w:val="22"/>
                <w:lang w:val="en-US" w:eastAsia="zh-CN" w:bidi="ar"/>
              </w:rPr>
              <w:t>（员工）</w:t>
            </w:r>
          </w:p>
        </w:tc>
        <w:tc>
          <w:tcPr>
            <w:tcW w:w="676"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1</w:t>
            </w:r>
          </w:p>
        </w:tc>
        <w:tc>
          <w:tcPr>
            <w:tcW w:w="1860"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经济与贸易类或财政金融类专业</w:t>
            </w:r>
          </w:p>
        </w:tc>
        <w:tc>
          <w:tcPr>
            <w:tcW w:w="1875"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全日制本科及以上学历</w:t>
            </w:r>
          </w:p>
        </w:tc>
        <w:tc>
          <w:tcPr>
            <w:tcW w:w="975"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35周岁及以下</w:t>
            </w:r>
          </w:p>
        </w:tc>
        <w:tc>
          <w:tcPr>
            <w:tcW w:w="553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限有银行信贷类或证券类相关工作经验3年以上。</w:t>
            </w:r>
          </w:p>
        </w:tc>
      </w:tr>
      <w:tr>
        <w:tblPrEx>
          <w:tblCellMar>
            <w:top w:w="0" w:type="dxa"/>
            <w:left w:w="108" w:type="dxa"/>
            <w:bottom w:w="0" w:type="dxa"/>
            <w:right w:w="108" w:type="dxa"/>
          </w:tblCellMar>
        </w:tblPrEx>
        <w:trPr>
          <w:trHeight w:val="975" w:hRule="atLeast"/>
          <w:jc w:val="center"/>
        </w:trPr>
        <w:tc>
          <w:tcPr>
            <w:tcW w:w="536"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3</w:t>
            </w:r>
          </w:p>
        </w:tc>
        <w:tc>
          <w:tcPr>
            <w:tcW w:w="2478"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市国投集团</w:t>
            </w:r>
          </w:p>
        </w:tc>
        <w:tc>
          <w:tcPr>
            <w:tcW w:w="1620"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党群工作部</w:t>
            </w:r>
          </w:p>
          <w:p>
            <w:pPr>
              <w:widowControl/>
              <w:jc w:val="center"/>
              <w:textAlignment w:val="center"/>
              <w:rPr>
                <w:rFonts w:hint="default" w:hAnsi="宋体"/>
                <w:color w:val="000000"/>
                <w:sz w:val="22"/>
                <w:szCs w:val="22"/>
                <w:lang w:val="en-US" w:eastAsia="zh-CN" w:bidi="ar"/>
              </w:rPr>
            </w:pPr>
            <w:r>
              <w:rPr>
                <w:rFonts w:hint="eastAsia" w:hAnsi="宋体"/>
                <w:color w:val="000000"/>
                <w:sz w:val="22"/>
                <w:szCs w:val="22"/>
                <w:lang w:val="en-US" w:eastAsia="zh-CN" w:bidi="ar"/>
              </w:rPr>
              <w:t>（员工）</w:t>
            </w:r>
          </w:p>
        </w:tc>
        <w:tc>
          <w:tcPr>
            <w:tcW w:w="676"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1</w:t>
            </w:r>
          </w:p>
        </w:tc>
        <w:tc>
          <w:tcPr>
            <w:tcW w:w="1860"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专业不限</w:t>
            </w:r>
          </w:p>
        </w:tc>
        <w:tc>
          <w:tcPr>
            <w:tcW w:w="1875"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全日制本科及以上学历</w:t>
            </w:r>
          </w:p>
        </w:tc>
        <w:tc>
          <w:tcPr>
            <w:tcW w:w="975"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35周岁及以下</w:t>
            </w:r>
          </w:p>
        </w:tc>
        <w:tc>
          <w:tcPr>
            <w:tcW w:w="553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限中共党员。</w:t>
            </w:r>
          </w:p>
        </w:tc>
      </w:tr>
      <w:tr>
        <w:tblPrEx>
          <w:tblCellMar>
            <w:top w:w="0" w:type="dxa"/>
            <w:left w:w="108" w:type="dxa"/>
            <w:bottom w:w="0" w:type="dxa"/>
            <w:right w:w="108" w:type="dxa"/>
          </w:tblCellMar>
        </w:tblPrEx>
        <w:trPr>
          <w:trHeight w:val="915" w:hRule="atLeast"/>
          <w:jc w:val="center"/>
        </w:trPr>
        <w:tc>
          <w:tcPr>
            <w:tcW w:w="536" w:type="dxa"/>
            <w:tcBorders>
              <w:top w:val="nil"/>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4</w:t>
            </w:r>
          </w:p>
        </w:tc>
        <w:tc>
          <w:tcPr>
            <w:tcW w:w="2478" w:type="dxa"/>
            <w:tcBorders>
              <w:top w:val="nil"/>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市国投集团</w:t>
            </w:r>
          </w:p>
        </w:tc>
        <w:tc>
          <w:tcPr>
            <w:tcW w:w="1620" w:type="dxa"/>
            <w:tcBorders>
              <w:top w:val="nil"/>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综合行政部</w:t>
            </w:r>
          </w:p>
          <w:p>
            <w:pPr>
              <w:widowControl/>
              <w:jc w:val="center"/>
              <w:textAlignment w:val="center"/>
              <w:rPr>
                <w:rFonts w:hint="default" w:hAnsi="宋体"/>
                <w:color w:val="000000"/>
                <w:sz w:val="22"/>
                <w:szCs w:val="22"/>
                <w:lang w:val="en-US" w:eastAsia="zh-CN" w:bidi="ar"/>
              </w:rPr>
            </w:pPr>
            <w:r>
              <w:rPr>
                <w:rFonts w:hint="eastAsia" w:hAnsi="宋体"/>
                <w:color w:val="000000"/>
                <w:sz w:val="22"/>
                <w:szCs w:val="22"/>
                <w:lang w:val="en-US" w:eastAsia="zh-CN" w:bidi="ar"/>
              </w:rPr>
              <w:t>（员工）</w:t>
            </w:r>
          </w:p>
        </w:tc>
        <w:tc>
          <w:tcPr>
            <w:tcW w:w="676" w:type="dxa"/>
            <w:tcBorders>
              <w:top w:val="nil"/>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1</w:t>
            </w:r>
          </w:p>
        </w:tc>
        <w:tc>
          <w:tcPr>
            <w:tcW w:w="1860" w:type="dxa"/>
            <w:tcBorders>
              <w:top w:val="nil"/>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中文类或新闻类专业</w:t>
            </w:r>
          </w:p>
        </w:tc>
        <w:tc>
          <w:tcPr>
            <w:tcW w:w="1875" w:type="dxa"/>
            <w:tcBorders>
              <w:top w:val="nil"/>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全日制本科及以上学历</w:t>
            </w:r>
          </w:p>
        </w:tc>
        <w:tc>
          <w:tcPr>
            <w:tcW w:w="975" w:type="dxa"/>
            <w:tcBorders>
              <w:top w:val="nil"/>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35周岁及以下</w:t>
            </w:r>
          </w:p>
        </w:tc>
        <w:tc>
          <w:tcPr>
            <w:tcW w:w="5534" w:type="dxa"/>
            <w:tcBorders>
              <w:top w:val="nil"/>
              <w:left w:val="single" w:color="000000" w:sz="4" w:space="0"/>
              <w:bottom w:val="single" w:color="auto" w:sz="4" w:space="0"/>
              <w:right w:val="single" w:color="000000" w:sz="4" w:space="0"/>
            </w:tcBorders>
            <w:noWrap w:val="0"/>
            <w:vAlign w:val="center"/>
          </w:tcPr>
          <w:p>
            <w:pPr>
              <w:widowControl/>
              <w:jc w:val="left"/>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限有3年以上工作经验。</w:t>
            </w:r>
          </w:p>
        </w:tc>
      </w:tr>
      <w:tr>
        <w:tblPrEx>
          <w:tblCellMar>
            <w:top w:w="0" w:type="dxa"/>
            <w:left w:w="108" w:type="dxa"/>
            <w:bottom w:w="0" w:type="dxa"/>
            <w:right w:w="108" w:type="dxa"/>
          </w:tblCellMar>
        </w:tblPrEx>
        <w:trPr>
          <w:trHeight w:val="950" w:hRule="atLeast"/>
          <w:jc w:val="center"/>
        </w:trPr>
        <w:tc>
          <w:tcPr>
            <w:tcW w:w="536" w:type="dxa"/>
            <w:tcBorders>
              <w:top w:val="single" w:color="auto" w:sz="4" w:space="0"/>
              <w:left w:val="single" w:color="auto"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5</w:t>
            </w:r>
          </w:p>
        </w:tc>
        <w:tc>
          <w:tcPr>
            <w:tcW w:w="247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市国投集团</w:t>
            </w:r>
          </w:p>
        </w:tc>
        <w:tc>
          <w:tcPr>
            <w:tcW w:w="162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纪委办公室</w:t>
            </w:r>
          </w:p>
          <w:p>
            <w:pPr>
              <w:widowControl/>
              <w:jc w:val="center"/>
              <w:textAlignment w:val="center"/>
              <w:rPr>
                <w:rFonts w:hint="default" w:hAnsi="宋体"/>
                <w:color w:val="000000"/>
                <w:sz w:val="22"/>
                <w:szCs w:val="22"/>
                <w:lang w:val="en-US" w:eastAsia="zh-CN" w:bidi="ar"/>
              </w:rPr>
            </w:pPr>
            <w:r>
              <w:rPr>
                <w:rFonts w:hint="eastAsia" w:hAnsi="宋体"/>
                <w:color w:val="000000"/>
                <w:sz w:val="22"/>
                <w:szCs w:val="22"/>
                <w:lang w:val="en-US" w:eastAsia="zh-CN" w:bidi="ar"/>
              </w:rPr>
              <w:t>（员工）</w:t>
            </w:r>
          </w:p>
        </w:tc>
        <w:tc>
          <w:tcPr>
            <w:tcW w:w="676"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1</w:t>
            </w:r>
          </w:p>
        </w:tc>
        <w:tc>
          <w:tcPr>
            <w:tcW w:w="186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专业不限</w:t>
            </w:r>
          </w:p>
        </w:tc>
        <w:tc>
          <w:tcPr>
            <w:tcW w:w="1875"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全日制本科及以上学历</w:t>
            </w:r>
          </w:p>
        </w:tc>
        <w:tc>
          <w:tcPr>
            <w:tcW w:w="975"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35周岁及以下</w:t>
            </w:r>
          </w:p>
        </w:tc>
        <w:tc>
          <w:tcPr>
            <w:tcW w:w="5534" w:type="dxa"/>
            <w:tcBorders>
              <w:top w:val="single" w:color="auto" w:sz="4" w:space="0"/>
              <w:left w:val="single" w:color="000000" w:sz="4" w:space="0"/>
              <w:bottom w:val="single" w:color="auto" w:sz="4" w:space="0"/>
              <w:right w:val="single" w:color="auto" w:sz="4" w:space="0"/>
            </w:tcBorders>
            <w:noWrap w:val="0"/>
            <w:vAlign w:val="center"/>
          </w:tcPr>
          <w:p>
            <w:pPr>
              <w:widowControl/>
              <w:jc w:val="left"/>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限有3年以上工作经验。</w:t>
            </w:r>
          </w:p>
        </w:tc>
      </w:tr>
      <w:tr>
        <w:tblPrEx>
          <w:tblCellMar>
            <w:top w:w="0" w:type="dxa"/>
            <w:left w:w="108" w:type="dxa"/>
            <w:bottom w:w="0" w:type="dxa"/>
            <w:right w:w="108" w:type="dxa"/>
          </w:tblCellMar>
        </w:tblPrEx>
        <w:trPr>
          <w:trHeight w:val="1040" w:hRule="atLeast"/>
          <w:jc w:val="center"/>
        </w:trPr>
        <w:tc>
          <w:tcPr>
            <w:tcW w:w="536"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6</w:t>
            </w:r>
          </w:p>
        </w:tc>
        <w:tc>
          <w:tcPr>
            <w:tcW w:w="247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市国投集团</w:t>
            </w:r>
          </w:p>
        </w:tc>
        <w:tc>
          <w:tcPr>
            <w:tcW w:w="162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财务部</w:t>
            </w:r>
          </w:p>
          <w:p>
            <w:pPr>
              <w:widowControl/>
              <w:jc w:val="center"/>
              <w:textAlignment w:val="center"/>
              <w:rPr>
                <w:rFonts w:hint="default" w:hAnsi="宋体"/>
                <w:color w:val="000000"/>
                <w:sz w:val="22"/>
                <w:szCs w:val="22"/>
                <w:lang w:val="en-US" w:eastAsia="zh-CN" w:bidi="ar"/>
              </w:rPr>
            </w:pPr>
            <w:r>
              <w:rPr>
                <w:rFonts w:hint="eastAsia" w:hAnsi="宋体"/>
                <w:color w:val="000000"/>
                <w:sz w:val="22"/>
                <w:szCs w:val="22"/>
                <w:lang w:val="en-US" w:eastAsia="zh-CN" w:bidi="ar"/>
              </w:rPr>
              <w:t>（员工）</w:t>
            </w:r>
          </w:p>
        </w:tc>
        <w:tc>
          <w:tcPr>
            <w:tcW w:w="676"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5</w:t>
            </w:r>
          </w:p>
        </w:tc>
        <w:tc>
          <w:tcPr>
            <w:tcW w:w="186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会计学专业</w:t>
            </w:r>
          </w:p>
        </w:tc>
        <w:tc>
          <w:tcPr>
            <w:tcW w:w="1875"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全日制本科及以上学历</w:t>
            </w:r>
          </w:p>
        </w:tc>
        <w:tc>
          <w:tcPr>
            <w:tcW w:w="975"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35周岁及以下</w:t>
            </w:r>
          </w:p>
        </w:tc>
        <w:tc>
          <w:tcPr>
            <w:tcW w:w="5534" w:type="dxa"/>
            <w:tcBorders>
              <w:top w:val="single" w:color="auto"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限有3年以上工作经验且取得初级以上会计师资格证。取得中级以上会计师资格证笔试加5分且报考年龄可放宽至40周岁。</w:t>
            </w:r>
          </w:p>
        </w:tc>
      </w:tr>
      <w:tr>
        <w:tblPrEx>
          <w:tblCellMar>
            <w:top w:w="0" w:type="dxa"/>
            <w:left w:w="108" w:type="dxa"/>
            <w:bottom w:w="0" w:type="dxa"/>
            <w:right w:w="108" w:type="dxa"/>
          </w:tblCellMar>
        </w:tblPrEx>
        <w:trPr>
          <w:trHeight w:val="1139"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7</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市国投集团</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审计部</w:t>
            </w:r>
          </w:p>
          <w:p>
            <w:pPr>
              <w:widowControl/>
              <w:jc w:val="center"/>
              <w:textAlignment w:val="center"/>
              <w:rPr>
                <w:rFonts w:hint="default" w:hAnsi="宋体"/>
                <w:color w:val="000000"/>
                <w:sz w:val="22"/>
                <w:szCs w:val="22"/>
                <w:lang w:val="en-US" w:eastAsia="zh-CN" w:bidi="ar"/>
              </w:rPr>
            </w:pPr>
            <w:r>
              <w:rPr>
                <w:rFonts w:hint="eastAsia" w:hAnsi="宋体"/>
                <w:color w:val="000000"/>
                <w:sz w:val="22"/>
                <w:szCs w:val="22"/>
                <w:lang w:val="en-US" w:eastAsia="zh-CN" w:bidi="ar"/>
              </w:rPr>
              <w:t>（员工）</w:t>
            </w:r>
          </w:p>
        </w:tc>
        <w:tc>
          <w:tcPr>
            <w:tcW w:w="6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1</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审计学专业</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全日制本科及以上学历</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35周岁及以下</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限有3年以上工作经验且取得初级以上审计师资格证。取得中级以上审计师资格证笔试加5分且报考年龄可放宽至40周岁。</w:t>
            </w:r>
          </w:p>
        </w:tc>
      </w:tr>
      <w:tr>
        <w:tblPrEx>
          <w:tblCellMar>
            <w:top w:w="0" w:type="dxa"/>
            <w:left w:w="108" w:type="dxa"/>
            <w:bottom w:w="0" w:type="dxa"/>
            <w:right w:w="108" w:type="dxa"/>
          </w:tblCellMar>
        </w:tblPrEx>
        <w:trPr>
          <w:trHeight w:val="1577"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8</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市国投集团</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法务风控部</w:t>
            </w:r>
          </w:p>
          <w:p>
            <w:pPr>
              <w:widowControl/>
              <w:jc w:val="center"/>
              <w:textAlignment w:val="center"/>
              <w:rPr>
                <w:rFonts w:hint="default" w:hAnsi="宋体"/>
                <w:color w:val="000000"/>
                <w:sz w:val="22"/>
                <w:szCs w:val="22"/>
                <w:lang w:val="en-US" w:eastAsia="zh-CN" w:bidi="ar"/>
              </w:rPr>
            </w:pPr>
            <w:r>
              <w:rPr>
                <w:rFonts w:hint="eastAsia" w:hAnsi="宋体"/>
                <w:color w:val="000000"/>
                <w:sz w:val="22"/>
                <w:szCs w:val="22"/>
                <w:lang w:val="en-US" w:eastAsia="zh-CN" w:bidi="ar"/>
              </w:rPr>
              <w:t>（员工）</w:t>
            </w:r>
          </w:p>
        </w:tc>
        <w:tc>
          <w:tcPr>
            <w:tcW w:w="6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1</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法律类专业</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全日制本科及以上学历</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35周岁及以下</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限有3年以上工作经验且取得法律职业资格证书A证或律师执业证。</w:t>
            </w:r>
          </w:p>
          <w:p>
            <w:pPr>
              <w:widowControl/>
              <w:jc w:val="left"/>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取得律师执业证A证笔试加5分且报考年龄可放宽至40周岁。</w:t>
            </w:r>
          </w:p>
        </w:tc>
      </w:tr>
      <w:tr>
        <w:tblPrEx>
          <w:tblCellMar>
            <w:top w:w="0" w:type="dxa"/>
            <w:left w:w="108" w:type="dxa"/>
            <w:bottom w:w="0" w:type="dxa"/>
            <w:right w:w="108" w:type="dxa"/>
          </w:tblCellMar>
        </w:tblPrEx>
        <w:trPr>
          <w:trHeight w:val="1190"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9</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市国投集团</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项目部</w:t>
            </w:r>
          </w:p>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（员工）</w:t>
            </w:r>
          </w:p>
        </w:tc>
        <w:tc>
          <w:tcPr>
            <w:tcW w:w="6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10</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工程管理类或建筑建设类</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全日制本科及以上学历</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35周岁及以下</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限有3年以上工作经验。</w:t>
            </w:r>
          </w:p>
          <w:p>
            <w:pPr>
              <w:widowControl/>
              <w:jc w:val="left"/>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取得一级建造师证笔试加5分，报考可放宽至大专学历且年龄可放宽至40周岁。</w:t>
            </w:r>
          </w:p>
        </w:tc>
      </w:tr>
      <w:tr>
        <w:tblPrEx>
          <w:tblCellMar>
            <w:top w:w="0" w:type="dxa"/>
            <w:left w:w="108" w:type="dxa"/>
            <w:bottom w:w="0" w:type="dxa"/>
            <w:right w:w="108" w:type="dxa"/>
          </w:tblCellMar>
        </w:tblPrEx>
        <w:trPr>
          <w:trHeight w:val="1246"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10</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市国投集团</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财务部</w:t>
            </w:r>
          </w:p>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（专职统计员）</w:t>
            </w:r>
          </w:p>
        </w:tc>
        <w:tc>
          <w:tcPr>
            <w:tcW w:w="6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1</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hAnsi="宋体"/>
                <w:color w:val="000000"/>
                <w:sz w:val="22"/>
                <w:szCs w:val="22"/>
                <w:lang w:val="en-US" w:eastAsia="zh-CN" w:bidi="ar"/>
              </w:rPr>
            </w:pPr>
            <w:r>
              <w:rPr>
                <w:rFonts w:hint="eastAsia" w:hAnsi="宋体"/>
                <w:color w:val="000000"/>
                <w:sz w:val="22"/>
                <w:szCs w:val="22"/>
                <w:lang w:val="en-US" w:eastAsia="zh-CN" w:bidi="ar"/>
              </w:rPr>
              <w:t>数学与统计类</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全日制本科及以上学历</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35周岁及以下</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限有3年以上统计工作经验。</w:t>
            </w:r>
          </w:p>
        </w:tc>
      </w:tr>
      <w:tr>
        <w:tblPrEx>
          <w:tblCellMar>
            <w:top w:w="0" w:type="dxa"/>
            <w:left w:w="108" w:type="dxa"/>
            <w:bottom w:w="0" w:type="dxa"/>
            <w:right w:w="108" w:type="dxa"/>
          </w:tblCellMar>
        </w:tblPrEx>
        <w:trPr>
          <w:trHeight w:val="862" w:hRule="atLeast"/>
          <w:jc w:val="center"/>
        </w:trPr>
        <w:tc>
          <w:tcPr>
            <w:tcW w:w="46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合计</w:t>
            </w:r>
          </w:p>
        </w:tc>
        <w:tc>
          <w:tcPr>
            <w:tcW w:w="6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hAnsi="宋体"/>
                <w:color w:val="000000"/>
                <w:sz w:val="22"/>
                <w:szCs w:val="22"/>
                <w:lang w:val="en-US" w:eastAsia="zh-CN" w:bidi="ar"/>
              </w:rPr>
            </w:pPr>
            <w:r>
              <w:rPr>
                <w:rFonts w:hint="eastAsia" w:hAnsi="宋体"/>
                <w:color w:val="000000"/>
                <w:sz w:val="22"/>
                <w:szCs w:val="22"/>
                <w:lang w:val="en-US" w:eastAsia="zh-CN" w:bidi="ar"/>
              </w:rPr>
              <w:t>23</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w:t>
            </w:r>
          </w:p>
        </w:tc>
        <w:tc>
          <w:tcPr>
            <w:tcW w:w="55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w:t>
            </w:r>
          </w:p>
        </w:tc>
      </w:tr>
      <w:tr>
        <w:tblPrEx>
          <w:tblCellMar>
            <w:top w:w="0" w:type="dxa"/>
            <w:left w:w="108" w:type="dxa"/>
            <w:bottom w:w="0" w:type="dxa"/>
            <w:right w:w="108" w:type="dxa"/>
          </w:tblCellMar>
        </w:tblPrEx>
        <w:trPr>
          <w:trHeight w:val="1200" w:hRule="atLeast"/>
          <w:jc w:val="center"/>
        </w:trPr>
        <w:tc>
          <w:tcPr>
            <w:tcW w:w="15554" w:type="dxa"/>
            <w:gridSpan w:val="8"/>
            <w:tcBorders>
              <w:top w:val="single" w:color="auto" w:sz="4" w:space="0"/>
              <w:left w:val="single" w:color="auto" w:sz="4" w:space="0"/>
              <w:bottom w:val="single" w:color="auto" w:sz="4" w:space="0"/>
              <w:right w:val="single" w:color="auto" w:sz="4" w:space="0"/>
            </w:tcBorders>
            <w:noWrap w:val="0"/>
            <w:vAlign w:val="center"/>
          </w:tcPr>
          <w:p>
            <w:pPr>
              <w:widowControl/>
              <w:ind w:firstLine="440" w:firstLineChars="200"/>
              <w:jc w:val="left"/>
              <w:textAlignment w:val="center"/>
              <w:rPr>
                <w:rFonts w:hint="eastAsia" w:hAnsi="宋体"/>
                <w:color w:val="000000"/>
                <w:sz w:val="22"/>
                <w:szCs w:val="22"/>
                <w:lang w:val="en-US" w:eastAsia="zh-CN" w:bidi="ar"/>
              </w:rPr>
            </w:pPr>
            <w:r>
              <w:rPr>
                <w:rFonts w:hint="eastAsia" w:hAnsi="宋体"/>
                <w:color w:val="000000"/>
                <w:sz w:val="22"/>
                <w:szCs w:val="22"/>
                <w:lang w:val="en-US" w:eastAsia="zh-CN" w:bidi="ar"/>
              </w:rPr>
              <w:t>注：工资和福利待遇：部门经理（企业中层正职）工资总额约11.5万元/年，一般员工（企业职员）工资总额约10万元/年，并按国家有关规定缴纳“五险一金”（养老保险、医疗保险、失业保险、工伤保险、生育保险和住房公积金）。</w:t>
            </w:r>
          </w:p>
          <w:p>
            <w:pPr>
              <w:widowControl/>
              <w:jc w:val="center"/>
              <w:textAlignment w:val="center"/>
              <w:rPr>
                <w:rFonts w:hint="eastAsia" w:hAnsi="宋体"/>
                <w:color w:val="000000"/>
                <w:sz w:val="22"/>
                <w:szCs w:val="22"/>
                <w:lang w:val="en-US" w:eastAsia="zh-CN" w:bidi="ar"/>
              </w:rPr>
            </w:pPr>
          </w:p>
        </w:tc>
      </w:tr>
    </w:tbl>
    <w:p>
      <w:pPr>
        <w:rPr>
          <w:rFonts w:hint="eastAsia"/>
        </w:rPr>
      </w:pPr>
    </w:p>
    <w:p>
      <w:pPr>
        <w:pStyle w:val="2"/>
        <w:rPr>
          <w:rFonts w:hint="eastAsia"/>
        </w:rPr>
        <w:sectPr>
          <w:headerReference r:id="rId3" w:type="default"/>
          <w:footerReference r:id="rId4" w:type="default"/>
          <w:footerReference r:id="rId5" w:type="even"/>
          <w:pgSz w:w="16838" w:h="11906" w:orient="landscape"/>
          <w:pgMar w:top="1417" w:right="1417" w:bottom="1417" w:left="1417" w:header="851" w:footer="992" w:gutter="0"/>
          <w:cols w:space="720" w:num="1"/>
          <w:docGrid w:type="lines" w:linePitch="312" w:charSpace="0"/>
        </w:sectPr>
      </w:pPr>
    </w:p>
    <w:p>
      <w:pPr>
        <w:pStyle w:val="2"/>
        <w:ind w:left="0" w:leftChars="0" w:firstLine="0" w:firstLineChars="0"/>
        <w:rPr>
          <w:rFonts w:hint="eastAsia"/>
          <w:lang w:val="en-US" w:eastAsia="zh-CN"/>
        </w:rPr>
      </w:pPr>
      <w:bookmarkStart w:id="0" w:name="_GoBack"/>
      <w:bookmarkEnd w:id="0"/>
    </w:p>
    <w:sectPr>
      <w:footerReference r:id="rId6" w:type="default"/>
      <w:footerReference r:id="rId7" w:type="even"/>
      <w:pgSz w:w="11905" w:h="16838" w:orient="landscape"/>
      <w:pgMar w:top="1418" w:right="1418" w:bottom="1418" w:left="1418"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4"/>
                      <w:jc w:val="center"/>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3"/>
      <w:spacing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3"/>
      <w:spacing w:line="14" w:lineRule="auto"/>
      <w:ind w:lef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TZkNDliNTQ5NDVlZDZjZjU5YTc5MmY3ZWU3ZGQifQ=="/>
  </w:docVars>
  <w:rsids>
    <w:rsidRoot w:val="79C83A82"/>
    <w:rsid w:val="02F1546E"/>
    <w:rsid w:val="04E11CA6"/>
    <w:rsid w:val="05D2339D"/>
    <w:rsid w:val="07061550"/>
    <w:rsid w:val="07746E01"/>
    <w:rsid w:val="1150633F"/>
    <w:rsid w:val="182F3134"/>
    <w:rsid w:val="1AE14356"/>
    <w:rsid w:val="1C4C4643"/>
    <w:rsid w:val="1E2C0B70"/>
    <w:rsid w:val="20D51BD9"/>
    <w:rsid w:val="27FC632B"/>
    <w:rsid w:val="2DB74A87"/>
    <w:rsid w:val="30DF2526"/>
    <w:rsid w:val="3790111A"/>
    <w:rsid w:val="37EF7C5B"/>
    <w:rsid w:val="3E0E4BB3"/>
    <w:rsid w:val="3FD83B79"/>
    <w:rsid w:val="4232300D"/>
    <w:rsid w:val="48F00136"/>
    <w:rsid w:val="4A1946C3"/>
    <w:rsid w:val="503B50F4"/>
    <w:rsid w:val="535960AA"/>
    <w:rsid w:val="53C02053"/>
    <w:rsid w:val="56020701"/>
    <w:rsid w:val="568A5BF5"/>
    <w:rsid w:val="5D1C02FB"/>
    <w:rsid w:val="5F757C60"/>
    <w:rsid w:val="60C17AA3"/>
    <w:rsid w:val="66BF00F7"/>
    <w:rsid w:val="67C26CC2"/>
    <w:rsid w:val="6FBE656C"/>
    <w:rsid w:val="79C83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ind w:left="756"/>
      <w:outlineLvl w:val="1"/>
    </w:pPr>
    <w:rPr>
      <w:rFonts w:ascii="Microsoft JhengHei" w:hAnsi="Microsoft JhengHei" w:eastAsia="Microsoft JhengHei" w:cs="Microsoft JhengHei"/>
      <w:b/>
      <w:bCs/>
      <w:sz w:val="32"/>
      <w:szCs w:val="32"/>
      <w:lang w:val="zh-CN" w:eastAsia="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18"/>
    </w:pPr>
    <w:rPr>
      <w:rFonts w:ascii="仿宋_GB2312" w:hAnsi="仿宋_GB2312" w:eastAsia="仿宋_GB2312" w:cs="仿宋_GB2312"/>
      <w:sz w:val="32"/>
      <w:szCs w:val="32"/>
      <w:lang w:val="zh-CN" w:eastAsia="zh-CN" w:bidi="zh-CN"/>
    </w:rPr>
  </w:style>
  <w:style w:type="paragraph" w:styleId="4">
    <w:name w:val="footer"/>
    <w:basedOn w:val="1"/>
    <w:unhideWhenUsed/>
    <w:qFormat/>
    <w:uiPriority w:val="99"/>
    <w:pPr>
      <w:tabs>
        <w:tab w:val="center" w:pos="4153"/>
        <w:tab w:val="right" w:pos="8306"/>
      </w:tabs>
      <w:autoSpaceDE/>
      <w:autoSpaceDN/>
      <w:snapToGrid w:val="0"/>
    </w:pPr>
    <w:rPr>
      <w:rFonts w:ascii="Calibri" w:hAnsi="Calibri" w:eastAsia="宋体" w:cs="Times New Roman"/>
      <w:sz w:val="18"/>
      <w:szCs w:val="18"/>
      <w:lang w:val="en-US" w:eastAsia="en-US" w:bidi="ar-SA"/>
    </w:rPr>
  </w:style>
  <w:style w:type="paragraph" w:styleId="5">
    <w:name w:val="header"/>
    <w:basedOn w:val="1"/>
    <w:unhideWhenUsed/>
    <w:qFormat/>
    <w:uiPriority w:val="99"/>
    <w:pPr>
      <w:pBdr>
        <w:bottom w:val="single" w:color="auto" w:sz="6" w:space="1"/>
      </w:pBdr>
      <w:tabs>
        <w:tab w:val="center" w:pos="4153"/>
        <w:tab w:val="right" w:pos="8306"/>
      </w:tabs>
      <w:autoSpaceDE/>
      <w:autoSpaceDN/>
      <w:snapToGrid w:val="0"/>
      <w:jc w:val="center"/>
    </w:pPr>
    <w:rPr>
      <w:rFonts w:ascii="Calibri" w:hAnsi="Calibri" w:eastAsia="宋体" w:cs="Times New Roman"/>
      <w:sz w:val="18"/>
      <w:szCs w:val="18"/>
      <w:lang w:val="en-US" w:eastAsia="en-US" w:bidi="ar-SA"/>
    </w:rPr>
  </w:style>
  <w:style w:type="paragraph" w:styleId="6">
    <w:name w:val="Body Text 2"/>
    <w:basedOn w:val="1"/>
    <w:unhideWhenUsed/>
    <w:qFormat/>
    <w:uiPriority w:val="99"/>
    <w:pPr>
      <w:spacing w:before="100" w:beforeAutospacing="1"/>
      <w:ind w:firstLine="420" w:firstLineChars="200"/>
    </w:pPr>
    <w:rPr>
      <w:rFonts w:eastAsia="仿宋_GB2312"/>
      <w:sz w:val="30"/>
      <w:szCs w:val="30"/>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paragraph" w:styleId="8">
    <w:name w:val="Body Text First Indent 2"/>
    <w:basedOn w:val="1"/>
    <w:qFormat/>
    <w:uiPriority w:val="0"/>
    <w:pPr>
      <w:ind w:firstLine="420" w:firstLineChars="200"/>
    </w:p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15007</Words>
  <Characters>15032</Characters>
  <Lines>0</Lines>
  <Paragraphs>0</Paragraphs>
  <TotalTime>21</TotalTime>
  <ScaleCrop>false</ScaleCrop>
  <LinksUpToDate>false</LinksUpToDate>
  <CharactersWithSpaces>15167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2022-06-12T07:40:00Z</dcterms:created>
  <dc:creator>Administrator</dc:creator>
  <cp:lastModifiedBy>Administrator</cp:lastModifiedBy>
  <dcterms:modified xsi:type="dcterms:W3CDTF">2022-06-13T09:55:19Z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1E798FB188CE457C857AE07270B615DF</vt:lpwstr>
  </property>
</Properties>
</file>