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477"/>
        <w:gridCol w:w="1620"/>
        <w:gridCol w:w="676"/>
        <w:gridCol w:w="1926"/>
        <w:gridCol w:w="1606"/>
        <w:gridCol w:w="1957"/>
        <w:gridCol w:w="4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5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  <w:lang w:bidi="ar"/>
              </w:rPr>
              <w:t>樟树市国有企业公开招聘岗位表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专业要求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战略规划部(经理）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工商管理类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经济与贸易类或财政金融类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35周岁及以下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有中级职业资格证书（如经济师、会计师、统计师等）且有5年以上相关工作经验。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投融资部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br w:type="textWrapping"/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（经理）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经济与贸易类或财政金融类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35周岁及以下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有银行投行（中级职称）或具有在中国证券协会登记取得过证券从业证书（咨询、基础、交易、基金、承销等）且有5年以上相关工作经验。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法务风控部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(经理）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法律类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35周岁及以下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有律师资格证书，且有律师行业工作经验或国有企业法务工作经验。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综合行政部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 xml:space="preserve">中文类或新闻类 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30周岁及以下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有2年以上工作经验。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战略规划部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工商管理类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经济与贸易类或财政金融类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全日制本科及以上学历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30周岁及以下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有2年以上工作经验。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审计部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审计学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全日制本科及以上学历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30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周岁及以下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有2年以上工作经验。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法务风控部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1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法律类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30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bidi="ar"/>
              </w:rPr>
              <w:t>有2年以上工作经验。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hAnsi="宋体"/>
                <w:color w:val="000000"/>
                <w:sz w:val="32"/>
                <w:szCs w:val="32"/>
                <w:lang w:val="en-US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樟树市国有资本</w:t>
            </w: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 xml:space="preserve">    </w:t>
            </w: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投资集团有限公司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项目部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建筑类</w:t>
            </w:r>
          </w:p>
        </w:tc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全日制本科及以上学历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35周岁及以下</w:t>
            </w:r>
          </w:p>
        </w:tc>
        <w:tc>
          <w:tcPr>
            <w:tcW w:w="4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有一级建造师证，报考可放宽至大专学历。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63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9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771EA"/>
    <w:rsid w:val="538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Times New Roman"/>
      <w:sz w:val="18"/>
      <w:szCs w:val="18"/>
      <w:lang w:val="en-US" w:eastAsia="en-US" w:bidi="ar-SA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eastAsia="宋体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2021-12-21T02:36:00Z</dcterms:created>
  <dc:creator>21</dc:creator>
  <cp:lastModifiedBy>南昌命题黄松</cp:lastModifiedBy>
  <dcterms:modified xsi:type="dcterms:W3CDTF">2021-12-21T02:41:31Z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99123934E15447BC8288CB169A03DC38</vt:lpwstr>
  </property>
</Properties>
</file>